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F2" w:rsidRPr="00F074F2" w:rsidRDefault="005A2893" w:rsidP="00F074F2">
      <w:pPr>
        <w:shd w:val="clear" w:color="auto" w:fill="FFFFFF"/>
        <w:spacing w:after="0" w:line="240" w:lineRule="auto"/>
        <w:outlineLvl w:val="1"/>
        <w:rPr>
          <w:rFonts w:ascii="Helvetica" w:eastAsia="Times New Roman" w:hAnsi="Helvetica" w:cs="Helvetica"/>
          <w:noProof/>
          <w:color w:val="625950"/>
          <w:sz w:val="36"/>
          <w:szCs w:val="36"/>
        </w:rPr>
      </w:pPr>
      <w:hyperlink r:id="rId5" w:history="1">
        <w:r w:rsidR="00F074F2" w:rsidRPr="00F074F2">
          <w:rPr>
            <w:rFonts w:ascii="Helvetica" w:eastAsia="Times New Roman" w:hAnsi="Helvetica" w:cs="Helvetica"/>
            <w:noProof/>
            <w:color w:val="FCB43E"/>
            <w:sz w:val="36"/>
            <w:szCs w:val="36"/>
          </w:rPr>
          <w:t>The Role of Surrogate Endpoint Biomarkers in Oncology Research</w:t>
        </w:r>
      </w:hyperlink>
    </w:p>
    <w:p w:rsidR="005A2893" w:rsidRPr="00F074F2" w:rsidRDefault="00F074F2">
      <w:pPr>
        <w:rPr>
          <w:rFonts w:ascii="Helvetica" w:hAnsi="Helvetica" w:cs="Helvetica"/>
          <w:i/>
          <w:iCs/>
          <w:noProof/>
          <w:color w:val="625950"/>
          <w:sz w:val="18"/>
          <w:szCs w:val="18"/>
          <w:shd w:val="clear" w:color="auto" w:fill="FFFFFF"/>
        </w:rPr>
      </w:pPr>
      <w:r w:rsidRPr="00F074F2">
        <w:rPr>
          <w:rStyle w:val="hs-author-label"/>
          <w:rFonts w:ascii="Helvetica" w:hAnsi="Helvetica" w:cs="Helvetica"/>
          <w:i/>
          <w:iCs/>
          <w:noProof/>
          <w:color w:val="625950"/>
          <w:sz w:val="18"/>
          <w:szCs w:val="18"/>
          <w:shd w:val="clear" w:color="auto" w:fill="FFFFFF"/>
        </w:rPr>
        <w:t>Posted by</w:t>
      </w:r>
      <w:r w:rsidRPr="00F074F2">
        <w:rPr>
          <w:rStyle w:val="apple-converted-space"/>
          <w:rFonts w:ascii="Helvetica" w:hAnsi="Helvetica" w:cs="Helvetica"/>
          <w:i/>
          <w:iCs/>
          <w:noProof/>
          <w:color w:val="625950"/>
          <w:sz w:val="18"/>
          <w:szCs w:val="18"/>
          <w:shd w:val="clear" w:color="auto" w:fill="FFFFFF"/>
        </w:rPr>
        <w:t> </w:t>
      </w:r>
      <w:hyperlink r:id="rId6" w:history="1">
        <w:r w:rsidRPr="00F074F2">
          <w:rPr>
            <w:rStyle w:val="Hyperlink"/>
            <w:rFonts w:ascii="Helvetica" w:hAnsi="Helvetica" w:cs="Helvetica"/>
            <w:i/>
            <w:iCs/>
            <w:noProof/>
            <w:color w:val="FCB43E"/>
            <w:sz w:val="18"/>
            <w:szCs w:val="18"/>
            <w:shd w:val="clear" w:color="auto" w:fill="FFFFFF"/>
          </w:rPr>
          <w:t>Luke Doiron</w:t>
        </w:r>
      </w:hyperlink>
      <w:r w:rsidRPr="00F074F2">
        <w:rPr>
          <w:rStyle w:val="apple-converted-space"/>
          <w:rFonts w:ascii="Helvetica" w:hAnsi="Helvetica" w:cs="Helvetica"/>
          <w:i/>
          <w:iCs/>
          <w:noProof/>
          <w:color w:val="625950"/>
          <w:sz w:val="18"/>
          <w:szCs w:val="18"/>
          <w:shd w:val="clear" w:color="auto" w:fill="FFFFFF"/>
        </w:rPr>
        <w:t> </w:t>
      </w:r>
      <w:r w:rsidRPr="00F074F2">
        <w:rPr>
          <w:rFonts w:ascii="Helvetica" w:hAnsi="Helvetica" w:cs="Helvetica"/>
          <w:i/>
          <w:iCs/>
          <w:noProof/>
          <w:color w:val="625950"/>
          <w:sz w:val="18"/>
          <w:szCs w:val="18"/>
          <w:shd w:val="clear" w:color="auto" w:fill="FFFFFF"/>
        </w:rPr>
        <w:t>on Feb 24, 2015 9:37:56 AM</w:t>
      </w:r>
    </w:p>
    <w:p w:rsidR="00F074F2" w:rsidRPr="00F074F2" w:rsidRDefault="00F074F2">
      <w:pPr>
        <w:rPr>
          <w:rFonts w:ascii="Helvetica" w:hAnsi="Helvetica" w:cs="Helvetica"/>
          <w:noProof/>
          <w:color w:val="625950"/>
          <w:sz w:val="21"/>
          <w:szCs w:val="21"/>
          <w:shd w:val="clear" w:color="auto" w:fill="FFFFFF"/>
        </w:rPr>
      </w:pPr>
      <w:r w:rsidRPr="00F074F2">
        <w:rPr>
          <w:noProof/>
        </w:rPr>
        <w:drawing>
          <wp:inline distT="0" distB="0" distL="0" distR="0">
            <wp:extent cx="3735853" cy="2495550"/>
            <wp:effectExtent l="19050" t="0" r="0" b="0"/>
            <wp:docPr id="1" name="Picture 1" descr="biomarkers_imag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markers_images_"/>
                    <pic:cNvPicPr>
                      <a:picLocks noChangeAspect="1" noChangeArrowheads="1"/>
                    </pic:cNvPicPr>
                  </pic:nvPicPr>
                  <pic:blipFill>
                    <a:blip r:embed="rId7"/>
                    <a:srcRect/>
                    <a:stretch>
                      <a:fillRect/>
                    </a:stretch>
                  </pic:blipFill>
                  <pic:spPr bwMode="auto">
                    <a:xfrm>
                      <a:off x="0" y="0"/>
                      <a:ext cx="3735853" cy="2495550"/>
                    </a:xfrm>
                    <a:prstGeom prst="rect">
                      <a:avLst/>
                    </a:prstGeom>
                    <a:noFill/>
                    <a:ln w="9525">
                      <a:noFill/>
                      <a:miter lim="800000"/>
                      <a:headEnd/>
                      <a:tailEnd/>
                    </a:ln>
                  </pic:spPr>
                </pic:pic>
              </a:graphicData>
            </a:graphic>
          </wp:inline>
        </w:drawing>
      </w:r>
      <w:r w:rsidRPr="00F074F2">
        <w:rPr>
          <w:rFonts w:ascii="Helvetica" w:hAnsi="Helvetica" w:cs="Helvetica"/>
          <w:noProof/>
          <w:color w:val="625950"/>
          <w:sz w:val="21"/>
          <w:szCs w:val="21"/>
          <w:shd w:val="clear" w:color="auto" w:fill="FFFFFF"/>
        </w:rPr>
        <w:t>Biomarkers and surrogate endpoints have an increasingly important role in both cancer research and clinical practice. Biomarkers can be used to assess prognosis and to predict how individual patients will respond to specific treatments, whereas surrogate endpoints potentially enable the effectiveness of new interventions to be assessed more rapidly, and at times with greater accuracy, than classic endpoints (such as survival) in clinical trials. (1)</w:t>
      </w:r>
    </w:p>
    <w:p w:rsidR="00F074F2" w:rsidRPr="00F074F2" w:rsidRDefault="00F074F2" w:rsidP="00F074F2">
      <w:pPr>
        <w:shd w:val="clear" w:color="auto" w:fill="FFFFFF"/>
        <w:spacing w:after="225" w:line="240" w:lineRule="auto"/>
        <w:outlineLvl w:val="1"/>
        <w:rPr>
          <w:rFonts w:ascii="Helvetica" w:eastAsia="Times New Roman" w:hAnsi="Helvetica" w:cs="Helvetica"/>
          <w:noProof/>
          <w:color w:val="625950"/>
          <w:sz w:val="36"/>
          <w:szCs w:val="36"/>
        </w:rPr>
      </w:pPr>
      <w:r w:rsidRPr="00F074F2">
        <w:rPr>
          <w:rFonts w:ascii="Helvetica" w:eastAsia="Times New Roman" w:hAnsi="Helvetica" w:cs="Helvetica"/>
          <w:noProof/>
          <w:color w:val="625950"/>
          <w:sz w:val="36"/>
          <w:szCs w:val="36"/>
        </w:rPr>
        <w:t>What is the role of surrogate endpoint biomarkers?</w:t>
      </w:r>
    </w:p>
    <w:p w:rsidR="00F074F2" w:rsidRPr="00F074F2" w:rsidRDefault="00F074F2" w:rsidP="00F074F2">
      <w:pPr>
        <w:shd w:val="clear" w:color="auto" w:fill="FFFFFF"/>
        <w:spacing w:after="225" w:line="300" w:lineRule="atLeast"/>
        <w:rPr>
          <w:rFonts w:ascii="Helvetica" w:eastAsia="Times New Roman" w:hAnsi="Helvetica" w:cs="Helvetica"/>
          <w:noProof/>
          <w:color w:val="625950"/>
          <w:sz w:val="21"/>
          <w:szCs w:val="21"/>
        </w:rPr>
      </w:pPr>
      <w:r w:rsidRPr="00F074F2">
        <w:rPr>
          <w:rFonts w:ascii="Helvetica" w:eastAsia="Times New Roman" w:hAnsi="Helvetica" w:cs="Helvetica"/>
          <w:noProof/>
          <w:color w:val="625950"/>
          <w:sz w:val="21"/>
          <w:szCs w:val="21"/>
        </w:rPr>
        <w:t>A ‘surrogate’ endpoint, in the cancer clinical trial context, is an endpoint which is used instead of the primary clinical endpoint. The substitution is usually made because the surrogate endpoint can be obtained earlier or more cheaply or with less variability than the clinical endpoint. A surrogate endpoint could be another relevant clinical endpoint but is often an objective biological or biochemical assessment. (2)</w:t>
      </w:r>
    </w:p>
    <w:p w:rsidR="00F074F2" w:rsidRPr="00F074F2" w:rsidRDefault="00F074F2" w:rsidP="00F074F2">
      <w:pPr>
        <w:shd w:val="clear" w:color="auto" w:fill="FFFFFF"/>
        <w:spacing w:after="225" w:line="240" w:lineRule="auto"/>
        <w:outlineLvl w:val="1"/>
        <w:rPr>
          <w:rFonts w:ascii="Helvetica" w:eastAsia="Times New Roman" w:hAnsi="Helvetica" w:cs="Helvetica"/>
          <w:noProof/>
          <w:color w:val="625950"/>
          <w:sz w:val="36"/>
          <w:szCs w:val="36"/>
        </w:rPr>
      </w:pPr>
      <w:r w:rsidRPr="00F074F2">
        <w:rPr>
          <w:rFonts w:ascii="Helvetica" w:eastAsia="Times New Roman" w:hAnsi="Helvetica" w:cs="Helvetica"/>
          <w:noProof/>
          <w:color w:val="625950"/>
          <w:sz w:val="36"/>
          <w:szCs w:val="36"/>
        </w:rPr>
        <w:t>Definitions of Surrogates and Biomarkers       </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1335"/>
        <w:gridCol w:w="8101"/>
      </w:tblGrid>
      <w:tr w:rsidR="00F074F2" w:rsidRPr="00F074F2" w:rsidTr="00F074F2">
        <w:tc>
          <w:tcPr>
            <w:tcW w:w="0" w:type="auto"/>
            <w:shd w:val="clear" w:color="auto" w:fill="FFFFFF"/>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Term</w:t>
            </w:r>
          </w:p>
        </w:tc>
        <w:tc>
          <w:tcPr>
            <w:tcW w:w="0" w:type="auto"/>
            <w:shd w:val="clear" w:color="auto" w:fill="FFFFFF"/>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Definition</w:t>
            </w:r>
          </w:p>
        </w:tc>
      </w:tr>
      <w:tr w:rsidR="00F074F2" w:rsidRPr="00F074F2" w:rsidTr="00F074F2">
        <w:tc>
          <w:tcPr>
            <w:tcW w:w="0" w:type="auto"/>
            <w:shd w:val="clear" w:color="auto" w:fill="F9F9F9"/>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Biomarker</w:t>
            </w:r>
          </w:p>
        </w:tc>
        <w:tc>
          <w:tcPr>
            <w:tcW w:w="0" w:type="auto"/>
            <w:shd w:val="clear" w:color="auto" w:fill="F9F9F9"/>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A characteristic that is objectively measured and evaluated as an indicator of normal biological processes, or pharmacologic responses to therapeutic intervention.</w:t>
            </w:r>
          </w:p>
        </w:tc>
      </w:tr>
      <w:tr w:rsidR="00F074F2" w:rsidRPr="00F074F2" w:rsidTr="00F074F2">
        <w:tc>
          <w:tcPr>
            <w:tcW w:w="0" w:type="auto"/>
            <w:shd w:val="clear" w:color="auto" w:fill="FFFFFF"/>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Prognostic biomarker</w:t>
            </w:r>
          </w:p>
        </w:tc>
        <w:tc>
          <w:tcPr>
            <w:tcW w:w="0" w:type="auto"/>
            <w:shd w:val="clear" w:color="auto" w:fill="FFFFFF"/>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Biomarker that forecasts the likely course of the disease irrespective of treatment</w:t>
            </w:r>
          </w:p>
        </w:tc>
      </w:tr>
      <w:tr w:rsidR="00F074F2" w:rsidRPr="00F074F2" w:rsidTr="00F074F2">
        <w:tc>
          <w:tcPr>
            <w:tcW w:w="0" w:type="auto"/>
            <w:shd w:val="clear" w:color="auto" w:fill="F9F9F9"/>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 xml:space="preserve">Predictive </w:t>
            </w:r>
            <w:r w:rsidRPr="00F074F2">
              <w:rPr>
                <w:rFonts w:ascii="inherit" w:eastAsia="Times New Roman" w:hAnsi="inherit" w:cs="Times New Roman"/>
                <w:noProof/>
                <w:color w:val="222222"/>
                <w:sz w:val="21"/>
                <w:szCs w:val="21"/>
              </w:rPr>
              <w:lastRenderedPageBreak/>
              <w:t>biomarker</w:t>
            </w:r>
          </w:p>
        </w:tc>
        <w:tc>
          <w:tcPr>
            <w:tcW w:w="0" w:type="auto"/>
            <w:shd w:val="clear" w:color="auto" w:fill="F9F9F9"/>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lastRenderedPageBreak/>
              <w:t>Biomarker that forecasts the likely response to a specific treatment</w:t>
            </w:r>
          </w:p>
        </w:tc>
      </w:tr>
      <w:tr w:rsidR="00F074F2" w:rsidRPr="00F074F2" w:rsidTr="00F074F2">
        <w:tc>
          <w:tcPr>
            <w:tcW w:w="0" w:type="auto"/>
            <w:shd w:val="clear" w:color="auto" w:fill="FFFFFF"/>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lastRenderedPageBreak/>
              <w:t>Clinical endpoint</w:t>
            </w:r>
          </w:p>
        </w:tc>
        <w:tc>
          <w:tcPr>
            <w:tcW w:w="0" w:type="auto"/>
            <w:shd w:val="clear" w:color="auto" w:fill="FFFFFF"/>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Measurement providing information on how a patient feels, functions or survives</w:t>
            </w:r>
          </w:p>
        </w:tc>
      </w:tr>
      <w:tr w:rsidR="00F074F2" w:rsidRPr="00F074F2" w:rsidTr="00F074F2">
        <w:tc>
          <w:tcPr>
            <w:tcW w:w="0" w:type="auto"/>
            <w:shd w:val="clear" w:color="auto" w:fill="F9F9F9"/>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Surrogate endpoint</w:t>
            </w:r>
          </w:p>
        </w:tc>
        <w:tc>
          <w:tcPr>
            <w:tcW w:w="0" w:type="auto"/>
            <w:shd w:val="clear" w:color="auto" w:fill="F9F9F9"/>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Measurement providing early and accurate prediction of both a clinical endpoint, and the effects of treatment on this endpoint</w:t>
            </w:r>
          </w:p>
        </w:tc>
      </w:tr>
      <w:tr w:rsidR="00F074F2" w:rsidRPr="00F074F2" w:rsidTr="00F074F2">
        <w:tc>
          <w:tcPr>
            <w:tcW w:w="0" w:type="auto"/>
            <w:shd w:val="clear" w:color="auto" w:fill="FFFFFF"/>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Validation</w:t>
            </w:r>
          </w:p>
        </w:tc>
        <w:tc>
          <w:tcPr>
            <w:tcW w:w="0" w:type="auto"/>
            <w:shd w:val="clear" w:color="auto" w:fill="FFFFFF"/>
            <w:vAlign w:val="center"/>
            <w:hideMark/>
          </w:tcPr>
          <w:p w:rsidR="00F074F2" w:rsidRPr="00F074F2" w:rsidRDefault="00F074F2" w:rsidP="00F074F2">
            <w:pPr>
              <w:spacing w:after="225" w:line="300" w:lineRule="atLeast"/>
              <w:rPr>
                <w:rFonts w:ascii="inherit" w:eastAsia="Times New Roman" w:hAnsi="inherit" w:cs="Times New Roman"/>
                <w:noProof/>
                <w:color w:val="222222"/>
                <w:sz w:val="21"/>
                <w:szCs w:val="21"/>
              </w:rPr>
            </w:pPr>
            <w:r w:rsidRPr="00F074F2">
              <w:rPr>
                <w:rFonts w:ascii="inherit" w:eastAsia="Times New Roman" w:hAnsi="inherit" w:cs="Times New Roman"/>
                <w:noProof/>
                <w:color w:val="222222"/>
                <w:sz w:val="21"/>
                <w:szCs w:val="21"/>
              </w:rPr>
              <w:t>Confirmation by robust statistical methods that a prognostic biomarker, predictive biomarker or surrogate end point fulfills a set of conditions that are necessary and sufficient for its use in the clinic.</w:t>
            </w:r>
          </w:p>
        </w:tc>
      </w:tr>
    </w:tbl>
    <w:p w:rsidR="00F074F2" w:rsidRPr="00F074F2" w:rsidRDefault="00F074F2" w:rsidP="00F074F2">
      <w:pPr>
        <w:spacing w:after="0" w:line="240" w:lineRule="auto"/>
        <w:rPr>
          <w:rFonts w:ascii="Times New Roman" w:eastAsia="Times New Roman" w:hAnsi="Times New Roman" w:cs="Times New Roman"/>
          <w:noProof/>
          <w:sz w:val="24"/>
          <w:szCs w:val="24"/>
        </w:rPr>
      </w:pPr>
      <w:r w:rsidRPr="00F074F2">
        <w:rPr>
          <w:rFonts w:ascii="Helvetica" w:eastAsia="Times New Roman" w:hAnsi="Helvetica" w:cs="Helvetica"/>
          <w:noProof/>
          <w:color w:val="625950"/>
          <w:sz w:val="21"/>
          <w:szCs w:val="21"/>
          <w:shd w:val="clear" w:color="auto" w:fill="FFFFFF"/>
        </w:rPr>
        <w:br/>
      </w:r>
      <w:r w:rsidRPr="00F074F2">
        <w:rPr>
          <w:rFonts w:ascii="Helvetica" w:eastAsia="Times New Roman" w:hAnsi="Helvetica" w:cs="Helvetica"/>
          <w:noProof/>
          <w:color w:val="625950"/>
          <w:sz w:val="21"/>
          <w:szCs w:val="21"/>
          <w:shd w:val="clear" w:color="auto" w:fill="FFFFFF"/>
        </w:rPr>
        <w:br/>
      </w:r>
    </w:p>
    <w:p w:rsidR="00F074F2" w:rsidRPr="00F074F2" w:rsidRDefault="00F074F2" w:rsidP="00F074F2">
      <w:pPr>
        <w:shd w:val="clear" w:color="auto" w:fill="FFFFFF"/>
        <w:spacing w:after="225" w:line="300" w:lineRule="atLeast"/>
        <w:rPr>
          <w:rFonts w:ascii="Helvetica" w:eastAsia="Times New Roman" w:hAnsi="Helvetica" w:cs="Helvetica"/>
          <w:noProof/>
          <w:color w:val="625950"/>
          <w:sz w:val="21"/>
          <w:szCs w:val="21"/>
        </w:rPr>
      </w:pPr>
      <w:r w:rsidRPr="00F074F2">
        <w:rPr>
          <w:rFonts w:ascii="Helvetica" w:eastAsia="Times New Roman" w:hAnsi="Helvetica" w:cs="Helvetica"/>
          <w:noProof/>
          <w:color w:val="625950"/>
          <w:sz w:val="21"/>
          <w:szCs w:val="21"/>
        </w:rPr>
        <w:t>Despite its appealing interpretation, limited research has been conducted to evaluate principal surrogates and existing methods focus on risk models that consider a single biomarker. How to compare principal surrogate value of biomarkers or general risk models that consider multiple biomarkers remains an open research question. (3)</w:t>
      </w:r>
    </w:p>
    <w:p w:rsidR="00F074F2" w:rsidRPr="00F074F2" w:rsidRDefault="00F074F2" w:rsidP="00F074F2">
      <w:pPr>
        <w:shd w:val="clear" w:color="auto" w:fill="FFFFFF"/>
        <w:spacing w:after="225" w:line="300" w:lineRule="atLeast"/>
        <w:rPr>
          <w:rFonts w:ascii="Helvetica" w:eastAsia="Times New Roman" w:hAnsi="Helvetica" w:cs="Helvetica"/>
          <w:noProof/>
          <w:color w:val="625950"/>
          <w:sz w:val="21"/>
          <w:szCs w:val="21"/>
        </w:rPr>
      </w:pPr>
      <w:r w:rsidRPr="00F074F2">
        <w:rPr>
          <w:rFonts w:ascii="Helvetica" w:eastAsia="Times New Roman" w:hAnsi="Helvetica" w:cs="Helvetica"/>
          <w:noProof/>
          <w:color w:val="625950"/>
          <w:sz w:val="21"/>
          <w:szCs w:val="21"/>
        </w:rPr>
        <w:t>There are many links in the chain of events that lead from the pathogenesis of a disease to its clinical manifestations; biomarkers can be used at any point in the chain, at the molecular, cellular, or organ levels. Likewise, a therapy might be developed to attack any one of these links, in order to try to manipulate the disease, symptomatically or therapeutically. Any measurement short of the actual outcome could be regarded as a surrogate endpoint biomarker. However, although all surrogate endpoints are biomarkers, not all biomarkers are useful surrogate endpoints. (3)</w:t>
      </w:r>
    </w:p>
    <w:p w:rsidR="00F074F2" w:rsidRPr="00F074F2" w:rsidRDefault="005A2893" w:rsidP="00F074F2">
      <w:pPr>
        <w:shd w:val="clear" w:color="auto" w:fill="FFFFFF"/>
        <w:spacing w:after="225" w:line="240" w:lineRule="auto"/>
        <w:outlineLvl w:val="1"/>
        <w:rPr>
          <w:rFonts w:ascii="Helvetica" w:eastAsia="Times New Roman" w:hAnsi="Helvetica" w:cs="Helvetica"/>
          <w:noProof/>
          <w:color w:val="625950"/>
          <w:sz w:val="36"/>
          <w:szCs w:val="36"/>
        </w:rPr>
      </w:pPr>
      <w:hyperlink r:id="rId8" w:history="1">
        <w:r w:rsidR="00F074F2" w:rsidRPr="00F074F2">
          <w:rPr>
            <w:rFonts w:ascii="Helvetica" w:eastAsia="Times New Roman" w:hAnsi="Helvetica" w:cs="Helvetica"/>
            <w:noProof/>
            <w:color w:val="FCB43E"/>
            <w:sz w:val="36"/>
            <w:szCs w:val="36"/>
          </w:rPr>
          <w:t>Ideal characteristics of surrogate biomarkers</w:t>
        </w:r>
      </w:hyperlink>
      <w:r w:rsidR="00F074F2" w:rsidRPr="00F074F2">
        <w:rPr>
          <w:rFonts w:ascii="Helvetica" w:eastAsia="Times New Roman" w:hAnsi="Helvetica" w:cs="Helvetica"/>
          <w:noProof/>
          <w:color w:val="625950"/>
          <w:sz w:val="36"/>
          <w:szCs w:val="36"/>
        </w:rPr>
        <w:t> include:</w:t>
      </w:r>
    </w:p>
    <w:p w:rsidR="00F074F2" w:rsidRPr="00F074F2" w:rsidRDefault="00F074F2" w:rsidP="00F074F2">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F074F2">
        <w:rPr>
          <w:rFonts w:ascii="inherit" w:eastAsia="Times New Roman" w:hAnsi="inherit" w:cs="Helvetica"/>
          <w:noProof/>
          <w:color w:val="625950"/>
          <w:sz w:val="21"/>
          <w:szCs w:val="21"/>
        </w:rPr>
        <w:t>Biomarkers should be involved in the process that causes cancer</w:t>
      </w:r>
    </w:p>
    <w:p w:rsidR="00F074F2" w:rsidRPr="00F074F2" w:rsidRDefault="00F074F2" w:rsidP="00F074F2">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F074F2">
        <w:rPr>
          <w:rFonts w:ascii="inherit" w:eastAsia="Times New Roman" w:hAnsi="inherit" w:cs="Helvetica"/>
          <w:noProof/>
          <w:color w:val="625950"/>
          <w:sz w:val="21"/>
          <w:szCs w:val="21"/>
        </w:rPr>
        <w:t>Changes in biomarker should be highly related to changes in the disease</w:t>
      </w:r>
    </w:p>
    <w:p w:rsidR="00F074F2" w:rsidRPr="00F074F2" w:rsidRDefault="00F074F2" w:rsidP="00F074F2">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F074F2">
        <w:rPr>
          <w:rFonts w:ascii="inherit" w:eastAsia="Times New Roman" w:hAnsi="inherit" w:cs="Helvetica"/>
          <w:noProof/>
          <w:color w:val="625950"/>
          <w:sz w:val="21"/>
          <w:szCs w:val="21"/>
        </w:rPr>
        <w:t>Levels of biomarker should be high enough that they can be measured easily and reliably</w:t>
      </w:r>
    </w:p>
    <w:p w:rsidR="00F074F2" w:rsidRPr="00F074F2" w:rsidRDefault="00F074F2" w:rsidP="00F074F2">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F074F2">
        <w:rPr>
          <w:rFonts w:ascii="inherit" w:eastAsia="Times New Roman" w:hAnsi="inherit" w:cs="Helvetica"/>
          <w:noProof/>
          <w:color w:val="625950"/>
          <w:sz w:val="21"/>
          <w:szCs w:val="21"/>
        </w:rPr>
        <w:t>Effective treatment of the cancer should change the level of the biomarker</w:t>
      </w:r>
    </w:p>
    <w:p w:rsidR="00F074F2" w:rsidRPr="00F074F2" w:rsidRDefault="00F074F2" w:rsidP="00F074F2">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F074F2">
        <w:rPr>
          <w:rFonts w:ascii="inherit" w:eastAsia="Times New Roman" w:hAnsi="inherit" w:cs="Helvetica"/>
          <w:noProof/>
          <w:color w:val="625950"/>
          <w:sz w:val="21"/>
          <w:szCs w:val="21"/>
        </w:rPr>
        <w:t>Level of the biomarker should not change spontaneously or in response to other factors not related to successful treatment of the cancer</w:t>
      </w:r>
    </w:p>
    <w:p w:rsidR="00F074F2" w:rsidRPr="00F074F2" w:rsidRDefault="00F074F2" w:rsidP="00F074F2">
      <w:pPr>
        <w:shd w:val="clear" w:color="auto" w:fill="FFFFFF"/>
        <w:spacing w:after="225" w:line="300" w:lineRule="atLeast"/>
        <w:rPr>
          <w:rFonts w:ascii="Helvetica" w:eastAsia="Times New Roman" w:hAnsi="Helvetica" w:cs="Helvetica"/>
          <w:noProof/>
          <w:color w:val="625950"/>
          <w:sz w:val="21"/>
          <w:szCs w:val="21"/>
        </w:rPr>
      </w:pPr>
      <w:r w:rsidRPr="00F074F2">
        <w:rPr>
          <w:rFonts w:ascii="Helvetica" w:eastAsia="Times New Roman" w:hAnsi="Helvetica" w:cs="Helvetica"/>
          <w:noProof/>
          <w:color w:val="625950"/>
          <w:sz w:val="21"/>
          <w:szCs w:val="21"/>
        </w:rPr>
        <w:t>Evaluation of new candidate biomarkers as possible surrogate endpoints for clinical trials requires addressing issues of analytical validation, qualification, and proper utilization.</w:t>
      </w:r>
      <w:r w:rsidRPr="00F074F2">
        <w:rPr>
          <w:rFonts w:ascii="Helvetica" w:eastAsia="Times New Roman" w:hAnsi="Helvetica" w:cs="Helvetica"/>
          <w:noProof/>
          <w:color w:val="625950"/>
          <w:sz w:val="21"/>
        </w:rPr>
        <w:t> </w:t>
      </w:r>
      <w:r w:rsidRPr="00F074F2">
        <w:rPr>
          <w:rFonts w:ascii="Helvetica" w:eastAsia="Times New Roman" w:hAnsi="Helvetica" w:cs="Helvetica"/>
          <w:noProof/>
          <w:color w:val="625950"/>
          <w:sz w:val="21"/>
          <w:szCs w:val="21"/>
        </w:rPr>
        <w:t>Clinical pharmacologic research plays a vital role in cancer drug development. In recent years, biomarker studies have become integral to this process, specifically the use of pharmacologic biomarkers in the development of targeted therapies and their translation to clinical practice. (4)</w:t>
      </w:r>
    </w:p>
    <w:p w:rsidR="00F074F2" w:rsidRPr="00F074F2" w:rsidRDefault="00F074F2" w:rsidP="00F074F2">
      <w:pPr>
        <w:shd w:val="clear" w:color="auto" w:fill="FFFFFF"/>
        <w:spacing w:after="225" w:line="300" w:lineRule="atLeast"/>
        <w:rPr>
          <w:rFonts w:ascii="Helvetica" w:eastAsia="Times New Roman" w:hAnsi="Helvetica" w:cs="Helvetica"/>
          <w:noProof/>
          <w:color w:val="625950"/>
          <w:sz w:val="21"/>
          <w:szCs w:val="21"/>
        </w:rPr>
      </w:pPr>
      <w:r w:rsidRPr="00F074F2">
        <w:rPr>
          <w:rFonts w:ascii="Helvetica" w:eastAsia="Times New Roman" w:hAnsi="Helvetica" w:cs="Helvetica"/>
          <w:noProof/>
          <w:color w:val="625950"/>
          <w:sz w:val="21"/>
          <w:szCs w:val="21"/>
        </w:rPr>
        <w:lastRenderedPageBreak/>
        <w:t>How can Conversant Bio help you with your clinical research?</w:t>
      </w:r>
    </w:p>
    <w:p w:rsidR="00F074F2" w:rsidRPr="00F074F2" w:rsidRDefault="005A2893" w:rsidP="00F074F2">
      <w:pPr>
        <w:spacing w:after="0" w:line="240" w:lineRule="auto"/>
        <w:rPr>
          <w:rFonts w:ascii="Times New Roman" w:eastAsia="Times New Roman" w:hAnsi="Times New Roman" w:cs="Times New Roman"/>
          <w:noProof/>
          <w:sz w:val="24"/>
          <w:szCs w:val="24"/>
        </w:rPr>
      </w:pPr>
      <w:r w:rsidRPr="005A2893">
        <w:rPr>
          <w:rFonts w:ascii="Times New Roman" w:eastAsia="Times New Roman" w:hAnsi="Times New Roman" w:cs="Times New Roman"/>
          <w:noProof/>
          <w:sz w:val="24"/>
          <w:szCs w:val="24"/>
        </w:rPr>
        <w:pict>
          <v:rect id="_x0000_i1025" style="width:0;height:0" o:hralign="center" o:hrstd="t" o:hrnoshade="t" o:hr="t" fillcolor="#625950" stroked="f"/>
        </w:pict>
      </w:r>
    </w:p>
    <w:p w:rsidR="00F074F2" w:rsidRPr="00F074F2" w:rsidRDefault="00F074F2" w:rsidP="00F074F2">
      <w:pPr>
        <w:spacing w:after="0" w:line="240" w:lineRule="auto"/>
        <w:rPr>
          <w:rFonts w:ascii="Times New Roman" w:eastAsia="Times New Roman" w:hAnsi="Times New Roman" w:cs="Times New Roman"/>
          <w:noProof/>
          <w:sz w:val="24"/>
          <w:szCs w:val="24"/>
        </w:rPr>
      </w:pPr>
      <w:r w:rsidRPr="00F074F2">
        <w:rPr>
          <w:rFonts w:ascii="Helvetica" w:eastAsia="Times New Roman" w:hAnsi="Helvetica" w:cs="Helvetica"/>
          <w:noProof/>
          <w:color w:val="625950"/>
          <w:sz w:val="21"/>
          <w:szCs w:val="21"/>
          <w:shd w:val="clear" w:color="auto" w:fill="FFFFFF"/>
        </w:rPr>
        <w:br/>
      </w:r>
    </w:p>
    <w:p w:rsidR="00F074F2" w:rsidRPr="00F074F2" w:rsidRDefault="00F074F2" w:rsidP="00F074F2">
      <w:pPr>
        <w:shd w:val="clear" w:color="auto" w:fill="FFFFFF"/>
        <w:spacing w:after="225" w:line="300" w:lineRule="atLeast"/>
        <w:rPr>
          <w:rFonts w:ascii="Helvetica" w:eastAsia="Times New Roman" w:hAnsi="Helvetica" w:cs="Helvetica"/>
          <w:noProof/>
          <w:color w:val="625950"/>
          <w:sz w:val="21"/>
          <w:szCs w:val="21"/>
        </w:rPr>
      </w:pPr>
      <w:r w:rsidRPr="00F074F2">
        <w:rPr>
          <w:rFonts w:ascii="Helvetica" w:eastAsia="Times New Roman" w:hAnsi="Helvetica" w:cs="Helvetica"/>
          <w:b/>
          <w:bCs/>
          <w:i/>
          <w:iCs/>
          <w:noProof/>
          <w:color w:val="625950"/>
          <w:sz w:val="21"/>
        </w:rPr>
        <w:t>References</w:t>
      </w:r>
    </w:p>
    <w:p w:rsidR="00F074F2" w:rsidRPr="00F074F2" w:rsidRDefault="00F074F2" w:rsidP="00F074F2">
      <w:pPr>
        <w:numPr>
          <w:ilvl w:val="0"/>
          <w:numId w:val="2"/>
        </w:numPr>
        <w:shd w:val="clear" w:color="auto" w:fill="FFFFFF"/>
        <w:spacing w:after="225" w:line="300" w:lineRule="atLeast"/>
        <w:rPr>
          <w:rFonts w:ascii="inherit" w:eastAsia="Times New Roman" w:hAnsi="inherit" w:cs="Helvetica"/>
          <w:noProof/>
          <w:color w:val="625950"/>
          <w:sz w:val="21"/>
          <w:szCs w:val="21"/>
        </w:rPr>
      </w:pPr>
      <w:r w:rsidRPr="00F074F2">
        <w:rPr>
          <w:rFonts w:ascii="inherit" w:eastAsia="Times New Roman" w:hAnsi="inherit" w:cs="Helvetica"/>
          <w:noProof/>
          <w:color w:val="625950"/>
          <w:sz w:val="21"/>
          <w:szCs w:val="21"/>
        </w:rPr>
        <w:t>Buyse M. et al. Biomarkers and surrogate endpoints-the challenge of statistical validation.</w:t>
      </w:r>
      <w:r w:rsidRPr="00F074F2">
        <w:rPr>
          <w:rFonts w:ascii="inherit" w:eastAsia="Times New Roman" w:hAnsi="inherit" w:cs="Helvetica"/>
          <w:noProof/>
          <w:color w:val="625950"/>
          <w:sz w:val="21"/>
        </w:rPr>
        <w:t> </w:t>
      </w:r>
      <w:r w:rsidRPr="00F074F2">
        <w:rPr>
          <w:rFonts w:ascii="inherit" w:eastAsia="Times New Roman" w:hAnsi="inherit" w:cs="Helvetica"/>
          <w:noProof/>
          <w:color w:val="625950"/>
          <w:sz w:val="21"/>
          <w:szCs w:val="21"/>
        </w:rPr>
        <w:t>Nat. Rev. Clin. Oncol. 2010; 7: 309–317. published online 6 April 2010</w:t>
      </w:r>
    </w:p>
    <w:p w:rsidR="00F074F2" w:rsidRPr="00F074F2" w:rsidRDefault="00F074F2" w:rsidP="00F074F2">
      <w:pPr>
        <w:numPr>
          <w:ilvl w:val="0"/>
          <w:numId w:val="2"/>
        </w:numPr>
        <w:shd w:val="clear" w:color="auto" w:fill="FFFFFF"/>
        <w:spacing w:after="225" w:line="300" w:lineRule="atLeast"/>
        <w:rPr>
          <w:rFonts w:ascii="inherit" w:eastAsia="Times New Roman" w:hAnsi="inherit" w:cs="Helvetica"/>
          <w:noProof/>
          <w:color w:val="625950"/>
          <w:sz w:val="21"/>
          <w:szCs w:val="21"/>
        </w:rPr>
      </w:pPr>
      <w:r w:rsidRPr="00F074F2">
        <w:rPr>
          <w:rFonts w:ascii="inherit" w:eastAsia="Times New Roman" w:hAnsi="inherit" w:cs="Helvetica"/>
          <w:noProof/>
          <w:color w:val="625950"/>
          <w:sz w:val="21"/>
          <w:szCs w:val="21"/>
        </w:rPr>
        <w:t>Huang Y, Gilbert P. Comparing biomarkers as principal surrogate endpoints.</w:t>
      </w:r>
      <w:r w:rsidRPr="00F074F2">
        <w:rPr>
          <w:rFonts w:ascii="inherit" w:eastAsia="Times New Roman" w:hAnsi="inherit" w:cs="Helvetica"/>
          <w:noProof/>
          <w:color w:val="625950"/>
          <w:sz w:val="21"/>
        </w:rPr>
        <w:t> </w:t>
      </w:r>
      <w:r w:rsidRPr="00F074F2">
        <w:rPr>
          <w:rFonts w:ascii="inherit" w:eastAsia="Times New Roman" w:hAnsi="inherit" w:cs="Helvetica"/>
          <w:noProof/>
          <w:color w:val="625950"/>
          <w:sz w:val="21"/>
          <w:szCs w:val="21"/>
        </w:rPr>
        <w:t>Biometrics.</w:t>
      </w:r>
      <w:r w:rsidRPr="00F074F2">
        <w:rPr>
          <w:rFonts w:ascii="inherit" w:eastAsia="Times New Roman" w:hAnsi="inherit" w:cs="Helvetica"/>
          <w:noProof/>
          <w:color w:val="625950"/>
          <w:sz w:val="21"/>
        </w:rPr>
        <w:t> </w:t>
      </w:r>
      <w:r w:rsidRPr="00F074F2">
        <w:rPr>
          <w:rFonts w:ascii="inherit" w:eastAsia="Times New Roman" w:hAnsi="inherit" w:cs="Helvetica"/>
          <w:noProof/>
          <w:color w:val="625950"/>
          <w:sz w:val="21"/>
          <w:szCs w:val="21"/>
        </w:rPr>
        <w:t>2011; 67: 1442–1451.</w:t>
      </w:r>
    </w:p>
    <w:p w:rsidR="00F074F2" w:rsidRPr="00F074F2" w:rsidRDefault="00F074F2" w:rsidP="00F074F2">
      <w:pPr>
        <w:numPr>
          <w:ilvl w:val="0"/>
          <w:numId w:val="2"/>
        </w:numPr>
        <w:shd w:val="clear" w:color="auto" w:fill="FFFFFF"/>
        <w:spacing w:after="225" w:line="300" w:lineRule="atLeast"/>
        <w:rPr>
          <w:rFonts w:ascii="inherit" w:eastAsia="Times New Roman" w:hAnsi="inherit" w:cs="Helvetica"/>
          <w:noProof/>
          <w:color w:val="625950"/>
          <w:sz w:val="21"/>
          <w:szCs w:val="21"/>
        </w:rPr>
      </w:pPr>
      <w:r w:rsidRPr="00F074F2">
        <w:rPr>
          <w:rFonts w:ascii="inherit" w:eastAsia="Times New Roman" w:hAnsi="inherit" w:cs="Helvetica"/>
          <w:noProof/>
          <w:color w:val="625950"/>
          <w:sz w:val="21"/>
          <w:szCs w:val="21"/>
        </w:rPr>
        <w:t>Aronson JK. Biomarkers and surrogate endpoints. Br J Clin Pharmacol. May 2005; 59(5): 491-494.</w:t>
      </w:r>
    </w:p>
    <w:p w:rsidR="00F074F2" w:rsidRPr="00F074F2" w:rsidRDefault="00F074F2" w:rsidP="00F074F2">
      <w:pPr>
        <w:spacing w:after="0" w:line="240" w:lineRule="auto"/>
        <w:rPr>
          <w:rFonts w:ascii="Times New Roman" w:eastAsia="Times New Roman" w:hAnsi="Times New Roman" w:cs="Times New Roman"/>
          <w:noProof/>
          <w:sz w:val="24"/>
          <w:szCs w:val="24"/>
        </w:rPr>
      </w:pPr>
      <w:r w:rsidRPr="00F074F2">
        <w:rPr>
          <w:rFonts w:ascii="Helvetica" w:eastAsia="Times New Roman" w:hAnsi="Helvetica" w:cs="Helvetica"/>
          <w:noProof/>
          <w:color w:val="625950"/>
          <w:sz w:val="21"/>
          <w:szCs w:val="21"/>
          <w:shd w:val="clear" w:color="auto" w:fill="FFFFFF"/>
        </w:rPr>
        <w:br/>
      </w:r>
    </w:p>
    <w:p w:rsidR="00F074F2" w:rsidRPr="00F074F2" w:rsidRDefault="00F074F2" w:rsidP="00F074F2">
      <w:pPr>
        <w:numPr>
          <w:ilvl w:val="0"/>
          <w:numId w:val="3"/>
        </w:numPr>
        <w:shd w:val="clear" w:color="auto" w:fill="FFFFFF"/>
        <w:spacing w:after="225" w:line="300" w:lineRule="atLeast"/>
        <w:rPr>
          <w:rFonts w:ascii="inherit" w:eastAsia="Times New Roman" w:hAnsi="inherit" w:cs="Helvetica"/>
          <w:noProof/>
          <w:color w:val="625950"/>
          <w:sz w:val="21"/>
          <w:szCs w:val="21"/>
        </w:rPr>
      </w:pPr>
      <w:r w:rsidRPr="00F074F2">
        <w:rPr>
          <w:rFonts w:ascii="inherit" w:eastAsia="Times New Roman" w:hAnsi="inherit" w:cs="Helvetica"/>
          <w:noProof/>
          <w:color w:val="625950"/>
          <w:sz w:val="21"/>
          <w:szCs w:val="21"/>
        </w:rPr>
        <w:t>Figg W, Newall D. Pharmacologic biomarkers in the development of stratified Medicine.</w:t>
      </w:r>
      <w:r w:rsidRPr="00F074F2">
        <w:rPr>
          <w:rFonts w:ascii="inherit" w:eastAsia="Times New Roman" w:hAnsi="inherit" w:cs="Helvetica"/>
          <w:noProof/>
          <w:color w:val="625950"/>
          <w:sz w:val="21"/>
        </w:rPr>
        <w:t> </w:t>
      </w:r>
      <w:r w:rsidRPr="00F074F2">
        <w:rPr>
          <w:rFonts w:ascii="inherit" w:eastAsia="Times New Roman" w:hAnsi="inherit" w:cs="Helvetica"/>
          <w:noProof/>
          <w:color w:val="625950"/>
          <w:sz w:val="21"/>
          <w:szCs w:val="21"/>
        </w:rPr>
        <w:t>Clin Cancer Res; 20(10); 2525–9</w:t>
      </w:r>
    </w:p>
    <w:p w:rsidR="00F074F2" w:rsidRPr="00F074F2" w:rsidRDefault="00F074F2">
      <w:pPr>
        <w:rPr>
          <w:noProof/>
        </w:rPr>
      </w:pPr>
      <w:permStart w:id="0" w:edGrp="everyone"/>
      <w:permEnd w:id="0"/>
    </w:p>
    <w:sectPr w:rsidR="00F074F2" w:rsidRPr="00F074F2" w:rsidSect="005A289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0C98"/>
    <w:multiLevelType w:val="multilevel"/>
    <w:tmpl w:val="A5DA14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F16F7"/>
    <w:multiLevelType w:val="multilevel"/>
    <w:tmpl w:val="88D2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9B1476"/>
    <w:multiLevelType w:val="multilevel"/>
    <w:tmpl w:val="C09A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rlPAJoxVpwDX+MH3zTfvb5PjsI=" w:salt="nD1sjmVtPUhbW97a1ofXWA=="/>
  <w:defaultTabStop w:val="720"/>
  <w:characterSpacingControl w:val="doNotCompress"/>
  <w:compat>
    <w:useFELayout/>
  </w:compat>
  <w:rsids>
    <w:rsidRoot w:val="00F074F2"/>
    <w:rsid w:val="004E1D4E"/>
    <w:rsid w:val="005A2893"/>
    <w:rsid w:val="00F07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93"/>
  </w:style>
  <w:style w:type="paragraph" w:styleId="Heading2">
    <w:name w:val="heading 2"/>
    <w:basedOn w:val="Normal"/>
    <w:link w:val="Heading2Char"/>
    <w:uiPriority w:val="9"/>
    <w:qFormat/>
    <w:rsid w:val="00F074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74F2"/>
    <w:rPr>
      <w:rFonts w:ascii="Times New Roman" w:eastAsia="Times New Roman" w:hAnsi="Times New Roman" w:cs="Times New Roman"/>
      <w:b/>
      <w:bCs/>
      <w:sz w:val="36"/>
      <w:szCs w:val="36"/>
    </w:rPr>
  </w:style>
  <w:style w:type="character" w:customStyle="1" w:styleId="hscoswrapper">
    <w:name w:val="hs_cos_wrapper"/>
    <w:basedOn w:val="DefaultParagraphFont"/>
    <w:rsid w:val="00F074F2"/>
  </w:style>
  <w:style w:type="character" w:customStyle="1" w:styleId="hs-author-label">
    <w:name w:val="hs-author-label"/>
    <w:basedOn w:val="DefaultParagraphFont"/>
    <w:rsid w:val="00F074F2"/>
  </w:style>
  <w:style w:type="character" w:customStyle="1" w:styleId="apple-converted-space">
    <w:name w:val="apple-converted-space"/>
    <w:basedOn w:val="DefaultParagraphFont"/>
    <w:rsid w:val="00F074F2"/>
  </w:style>
  <w:style w:type="character" w:styleId="Hyperlink">
    <w:name w:val="Hyperlink"/>
    <w:basedOn w:val="DefaultParagraphFont"/>
    <w:uiPriority w:val="99"/>
    <w:semiHidden/>
    <w:unhideWhenUsed/>
    <w:rsid w:val="00F074F2"/>
    <w:rPr>
      <w:color w:val="0000FF"/>
      <w:u w:val="single"/>
    </w:rPr>
  </w:style>
  <w:style w:type="paragraph" w:styleId="BalloonText">
    <w:name w:val="Balloon Text"/>
    <w:basedOn w:val="Normal"/>
    <w:link w:val="BalloonTextChar"/>
    <w:uiPriority w:val="99"/>
    <w:semiHidden/>
    <w:unhideWhenUsed/>
    <w:rsid w:val="00F0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F2"/>
    <w:rPr>
      <w:rFonts w:ascii="Tahoma" w:hAnsi="Tahoma" w:cs="Tahoma"/>
      <w:sz w:val="16"/>
      <w:szCs w:val="16"/>
    </w:rPr>
  </w:style>
  <w:style w:type="paragraph" w:styleId="NormalWeb">
    <w:name w:val="Normal (Web)"/>
    <w:basedOn w:val="Normal"/>
    <w:uiPriority w:val="99"/>
    <w:unhideWhenUsed/>
    <w:rsid w:val="00F074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74F2"/>
    <w:rPr>
      <w:b/>
      <w:bCs/>
    </w:rPr>
  </w:style>
</w:styles>
</file>

<file path=word/webSettings.xml><?xml version="1.0" encoding="utf-8"?>
<w:webSettings xmlns:r="http://schemas.openxmlformats.org/officeDocument/2006/relationships" xmlns:w="http://schemas.openxmlformats.org/wordprocessingml/2006/main">
  <w:divs>
    <w:div w:id="439882846">
      <w:bodyDiv w:val="1"/>
      <w:marLeft w:val="0"/>
      <w:marRight w:val="0"/>
      <w:marTop w:val="0"/>
      <w:marBottom w:val="0"/>
      <w:divBdr>
        <w:top w:val="none" w:sz="0" w:space="0" w:color="auto"/>
        <w:left w:val="none" w:sz="0" w:space="0" w:color="auto"/>
        <w:bottom w:val="none" w:sz="0" w:space="0" w:color="auto"/>
        <w:right w:val="none" w:sz="0" w:space="0" w:color="auto"/>
      </w:divBdr>
    </w:div>
    <w:div w:id="495221542">
      <w:bodyDiv w:val="1"/>
      <w:marLeft w:val="0"/>
      <w:marRight w:val="0"/>
      <w:marTop w:val="0"/>
      <w:marBottom w:val="0"/>
      <w:divBdr>
        <w:top w:val="none" w:sz="0" w:space="0" w:color="auto"/>
        <w:left w:val="none" w:sz="0" w:space="0" w:color="auto"/>
        <w:bottom w:val="none" w:sz="0" w:space="0" w:color="auto"/>
        <w:right w:val="none" w:sz="0" w:space="0" w:color="auto"/>
      </w:divBdr>
      <w:divsChild>
        <w:div w:id="152720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blog/bid/383664/5-Core-Characteristics-of-Surrogate-Endpoint-Biomark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5" Type="http://schemas.openxmlformats.org/officeDocument/2006/relationships/hyperlink" Target="http://www.conversantbio.com/blog/the-role-of-surrogate-endpoint-biomarkers-in-oncology-resear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3979</Characters>
  <Application>Microsoft Office Word</Application>
  <DocSecurity>8</DocSecurity>
  <Lines>33</Lines>
  <Paragraphs>9</Paragraphs>
  <ScaleCrop>false</ScaleCrop>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2015-02-25T06:13:00Z</dcterms:created>
  <dcterms:modified xsi:type="dcterms:W3CDTF">2015-02-28T04:33:00Z</dcterms:modified>
</cp:coreProperties>
</file>